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A3C27" w:rsidRDefault="00853343" w:rsidP="00BA3C27">
      <w:pPr>
        <w:spacing w:after="180"/>
        <w:ind w:right="72"/>
        <w:jc w:val="center"/>
        <w:rPr>
          <w:b/>
          <w:spacing w:val="-6"/>
          <w:w w:val="105"/>
          <w:sz w:val="44"/>
          <w:szCs w:val="36"/>
          <w:u w:val="single"/>
        </w:rPr>
      </w:pPr>
      <w:r w:rsidRPr="00BA3C27">
        <w:rPr>
          <w:b/>
          <w:spacing w:val="-6"/>
          <w:w w:val="105"/>
          <w:sz w:val="44"/>
          <w:szCs w:val="36"/>
          <w:u w:val="single"/>
        </w:rPr>
        <w:t>How to Read a Transcript</w:t>
      </w:r>
    </w:p>
    <w:tbl>
      <w:tblPr>
        <w:tblW w:w="0" w:type="auto"/>
        <w:tblLayout w:type="fixed"/>
        <w:tblCellMar>
          <w:left w:w="0" w:type="dxa"/>
          <w:right w:w="0" w:type="dxa"/>
        </w:tblCellMar>
        <w:tblLook w:val="0000" w:firstRow="0" w:lastRow="0" w:firstColumn="0" w:lastColumn="0" w:noHBand="0" w:noVBand="0"/>
      </w:tblPr>
      <w:tblGrid>
        <w:gridCol w:w="5760"/>
        <w:gridCol w:w="880"/>
      </w:tblGrid>
      <w:tr w:rsidR="00000000">
        <w:tblPrEx>
          <w:tblCellMar>
            <w:top w:w="0" w:type="dxa"/>
            <w:left w:w="0" w:type="dxa"/>
            <w:bottom w:w="0" w:type="dxa"/>
            <w:right w:w="0" w:type="dxa"/>
          </w:tblCellMar>
        </w:tblPrEx>
        <w:trPr>
          <w:trHeight w:hRule="exact" w:val="510"/>
        </w:trPr>
        <w:tc>
          <w:tcPr>
            <w:tcW w:w="5760" w:type="dxa"/>
            <w:tcBorders>
              <w:top w:val="nil"/>
              <w:left w:val="nil"/>
              <w:bottom w:val="nil"/>
              <w:right w:val="nil"/>
            </w:tcBorders>
          </w:tcPr>
          <w:p w:rsidR="00000000" w:rsidRDefault="00853343">
            <w:pPr>
              <w:ind w:right="3333"/>
              <w:jc w:val="right"/>
              <w:rPr>
                <w:b/>
                <w:bCs/>
                <w:spacing w:val="-10"/>
                <w:w w:val="105"/>
                <w:sz w:val="28"/>
                <w:szCs w:val="28"/>
                <w:u w:val="single"/>
              </w:rPr>
            </w:pPr>
            <w:r>
              <w:rPr>
                <w:b/>
                <w:bCs/>
                <w:spacing w:val="-10"/>
                <w:w w:val="105"/>
                <w:sz w:val="28"/>
                <w:szCs w:val="28"/>
                <w:u w:val="single"/>
              </w:rPr>
              <w:t>Example Transcript</w:t>
            </w:r>
          </w:p>
          <w:p w:rsidR="00BA3C27" w:rsidRDefault="00BA3C27">
            <w:pPr>
              <w:ind w:right="3333"/>
              <w:jc w:val="right"/>
              <w:rPr>
                <w:b/>
                <w:bCs/>
                <w:spacing w:val="-10"/>
                <w:w w:val="105"/>
                <w:sz w:val="28"/>
                <w:szCs w:val="28"/>
                <w:u w:val="single"/>
              </w:rPr>
            </w:pPr>
          </w:p>
          <w:p w:rsidR="00BA3C27" w:rsidRDefault="00BA3C27">
            <w:pPr>
              <w:ind w:right="3333"/>
              <w:jc w:val="right"/>
              <w:rPr>
                <w:b/>
                <w:bCs/>
                <w:spacing w:val="-10"/>
                <w:w w:val="105"/>
                <w:sz w:val="28"/>
                <w:szCs w:val="28"/>
                <w:u w:val="single"/>
              </w:rPr>
            </w:pPr>
          </w:p>
          <w:p w:rsidR="00BA3C27" w:rsidRDefault="00BA3C27">
            <w:pPr>
              <w:ind w:right="3333"/>
              <w:jc w:val="right"/>
              <w:rPr>
                <w:b/>
                <w:bCs/>
                <w:spacing w:val="-10"/>
                <w:w w:val="105"/>
                <w:sz w:val="28"/>
                <w:szCs w:val="28"/>
                <w:u w:val="single"/>
              </w:rPr>
            </w:pPr>
          </w:p>
          <w:p w:rsidR="002D215E" w:rsidRDefault="002D215E">
            <w:pPr>
              <w:ind w:right="3333"/>
              <w:jc w:val="right"/>
              <w:rPr>
                <w:b/>
                <w:bCs/>
                <w:spacing w:val="-10"/>
                <w:w w:val="105"/>
                <w:sz w:val="28"/>
                <w:szCs w:val="28"/>
                <w:u w:val="single"/>
              </w:rPr>
            </w:pPr>
          </w:p>
          <w:p w:rsidR="002D215E" w:rsidRDefault="002D215E">
            <w:pPr>
              <w:ind w:right="3333"/>
              <w:jc w:val="right"/>
              <w:rPr>
                <w:b/>
                <w:bCs/>
                <w:spacing w:val="-10"/>
                <w:w w:val="105"/>
                <w:sz w:val="28"/>
                <w:szCs w:val="28"/>
                <w:u w:val="single"/>
              </w:rPr>
            </w:pPr>
          </w:p>
          <w:p w:rsidR="002D215E" w:rsidRDefault="002D215E">
            <w:pPr>
              <w:ind w:right="3333"/>
              <w:jc w:val="right"/>
              <w:rPr>
                <w:b/>
                <w:bCs/>
                <w:spacing w:val="-10"/>
                <w:w w:val="105"/>
                <w:sz w:val="28"/>
                <w:szCs w:val="28"/>
                <w:u w:val="single"/>
              </w:rPr>
            </w:pPr>
          </w:p>
        </w:tc>
        <w:tc>
          <w:tcPr>
            <w:tcW w:w="880" w:type="dxa"/>
            <w:tcBorders>
              <w:top w:val="nil"/>
              <w:left w:val="nil"/>
              <w:bottom w:val="nil"/>
              <w:right w:val="nil"/>
            </w:tcBorders>
          </w:tcPr>
          <w:p w:rsidR="00000000" w:rsidRDefault="00853343">
            <w:pPr>
              <w:ind w:right="3333"/>
              <w:jc w:val="right"/>
              <w:rPr>
                <w:b/>
                <w:bCs/>
                <w:spacing w:val="-10"/>
                <w:w w:val="105"/>
                <w:sz w:val="28"/>
                <w:szCs w:val="28"/>
                <w:u w:val="single"/>
              </w:rPr>
            </w:pPr>
          </w:p>
        </w:tc>
      </w:tr>
    </w:tbl>
    <w:p w:rsidR="00000000" w:rsidRDefault="00853343">
      <w:pPr>
        <w:spacing w:before="1860" w:line="288" w:lineRule="exact"/>
        <w:sectPr w:rsidR="00000000">
          <w:type w:val="continuous"/>
          <w:pgSz w:w="12240" w:h="15840"/>
          <w:pgMar w:top="1474" w:right="1358" w:bottom="1596" w:left="1417" w:header="720" w:footer="720" w:gutter="0"/>
          <w:cols w:space="720"/>
          <w:noEndnote/>
        </w:sectPr>
      </w:pPr>
    </w:p>
    <w:p w:rsidR="00BA3C27" w:rsidRDefault="00BA3C27">
      <w:pPr>
        <w:rPr>
          <w:b/>
          <w:bCs/>
          <w:w w:val="105"/>
          <w:sz w:val="28"/>
          <w:szCs w:val="28"/>
          <w:u w:val="single"/>
        </w:rPr>
      </w:pPr>
      <w:r>
        <w:rPr>
          <w:b/>
          <w:bCs/>
          <w:noProof/>
          <w:w w:val="105"/>
          <w:sz w:val="28"/>
          <w:szCs w:val="28"/>
          <w:u w:val="single"/>
        </w:rPr>
        <w:lastRenderedPageBreak/>
        <w:drawing>
          <wp:inline distT="0" distB="0" distL="0" distR="0">
            <wp:extent cx="5575300" cy="30702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cript.jpg"/>
                    <pic:cNvPicPr/>
                  </pic:nvPicPr>
                  <pic:blipFill>
                    <a:blip r:embed="rId5">
                      <a:extLst>
                        <a:ext uri="{28A0092B-C50C-407E-A947-70E740481C1C}">
                          <a14:useLocalDpi xmlns:a14="http://schemas.microsoft.com/office/drawing/2010/main" val="0"/>
                        </a:ext>
                      </a:extLst>
                    </a:blip>
                    <a:stretch>
                      <a:fillRect/>
                    </a:stretch>
                  </pic:blipFill>
                  <pic:spPr>
                    <a:xfrm>
                      <a:off x="0" y="0"/>
                      <a:ext cx="5575300" cy="3070225"/>
                    </a:xfrm>
                    <a:prstGeom prst="rect">
                      <a:avLst/>
                    </a:prstGeom>
                  </pic:spPr>
                </pic:pic>
              </a:graphicData>
            </a:graphic>
          </wp:inline>
        </w:drawing>
      </w:r>
    </w:p>
    <w:p w:rsidR="00BA3C27" w:rsidRDefault="00BA3C27">
      <w:pPr>
        <w:rPr>
          <w:b/>
          <w:bCs/>
          <w:w w:val="105"/>
          <w:sz w:val="28"/>
          <w:szCs w:val="28"/>
          <w:u w:val="single"/>
        </w:rPr>
      </w:pPr>
    </w:p>
    <w:p w:rsidR="00BA3C27" w:rsidRDefault="00BA3C27">
      <w:pPr>
        <w:rPr>
          <w:b/>
          <w:bCs/>
          <w:w w:val="105"/>
          <w:sz w:val="28"/>
          <w:szCs w:val="28"/>
          <w:u w:val="single"/>
        </w:rPr>
      </w:pPr>
    </w:p>
    <w:p w:rsidR="00000000" w:rsidRDefault="00853343">
      <w:pPr>
        <w:rPr>
          <w:sz w:val="28"/>
          <w:szCs w:val="28"/>
        </w:rPr>
      </w:pPr>
      <w:r>
        <w:rPr>
          <w:b/>
          <w:bCs/>
          <w:w w:val="105"/>
          <w:sz w:val="28"/>
          <w:szCs w:val="28"/>
          <w:u w:val="single"/>
        </w:rPr>
        <w:t>Explanation</w:t>
      </w:r>
    </w:p>
    <w:p w:rsidR="00000000" w:rsidRDefault="00853343">
      <w:pPr>
        <w:widowControl/>
        <w:kinsoku/>
        <w:autoSpaceDE w:val="0"/>
        <w:autoSpaceDN w:val="0"/>
        <w:adjustRightInd w:val="0"/>
        <w:rPr>
          <w:spacing w:val="-8"/>
          <w:w w:val="105"/>
        </w:rPr>
      </w:pPr>
      <w:bookmarkStart w:id="0" w:name="_GoBack"/>
      <w:bookmarkEnd w:id="0"/>
    </w:p>
    <w:p w:rsidR="00BA3C27" w:rsidRDefault="00BA3C27">
      <w:pPr>
        <w:widowControl/>
        <w:kinsoku/>
        <w:autoSpaceDE w:val="0"/>
        <w:autoSpaceDN w:val="0"/>
        <w:adjustRightInd w:val="0"/>
        <w:rPr>
          <w:spacing w:val="-8"/>
          <w:w w:val="105"/>
        </w:rPr>
      </w:pPr>
      <w:proofErr w:type="spellStart"/>
      <w:r w:rsidRPr="00BA3C27">
        <w:rPr>
          <w:b/>
          <w:spacing w:val="-8"/>
          <w:w w:val="105"/>
        </w:rPr>
        <w:t>Hrs</w:t>
      </w:r>
      <w:proofErr w:type="spellEnd"/>
      <w:r w:rsidRPr="00BA3C27">
        <w:rPr>
          <w:b/>
          <w:spacing w:val="-8"/>
          <w:w w:val="105"/>
        </w:rPr>
        <w:t xml:space="preserve"> </w:t>
      </w:r>
      <w:proofErr w:type="spellStart"/>
      <w:r w:rsidRPr="00BA3C27">
        <w:rPr>
          <w:b/>
          <w:spacing w:val="-8"/>
          <w:w w:val="105"/>
        </w:rPr>
        <w:t>Att</w:t>
      </w:r>
      <w:proofErr w:type="spellEnd"/>
      <w:r w:rsidRPr="00BA3C27">
        <w:rPr>
          <w:b/>
          <w:spacing w:val="-8"/>
          <w:w w:val="105"/>
        </w:rPr>
        <w:t>:</w:t>
      </w:r>
      <w:r>
        <w:rPr>
          <w:spacing w:val="-8"/>
          <w:w w:val="105"/>
        </w:rPr>
        <w:t xml:space="preserve"> Credit hours attempted</w:t>
      </w:r>
    </w:p>
    <w:p w:rsidR="00BA3C27" w:rsidRDefault="00BA3C27">
      <w:pPr>
        <w:widowControl/>
        <w:kinsoku/>
        <w:autoSpaceDE w:val="0"/>
        <w:autoSpaceDN w:val="0"/>
        <w:adjustRightInd w:val="0"/>
        <w:rPr>
          <w:spacing w:val="-8"/>
          <w:w w:val="105"/>
        </w:rPr>
      </w:pPr>
    </w:p>
    <w:p w:rsidR="00BA3C27" w:rsidRDefault="00BA3C27">
      <w:pPr>
        <w:widowControl/>
        <w:kinsoku/>
        <w:autoSpaceDE w:val="0"/>
        <w:autoSpaceDN w:val="0"/>
        <w:adjustRightInd w:val="0"/>
        <w:rPr>
          <w:spacing w:val="-8"/>
          <w:w w:val="105"/>
        </w:rPr>
      </w:pPr>
      <w:proofErr w:type="spellStart"/>
      <w:r w:rsidRPr="00BA3C27">
        <w:rPr>
          <w:b/>
          <w:spacing w:val="-8"/>
          <w:w w:val="105"/>
        </w:rPr>
        <w:t>Hrs</w:t>
      </w:r>
      <w:proofErr w:type="spellEnd"/>
      <w:r w:rsidRPr="00BA3C27">
        <w:rPr>
          <w:b/>
          <w:spacing w:val="-8"/>
          <w:w w:val="105"/>
        </w:rPr>
        <w:t xml:space="preserve"> </w:t>
      </w:r>
      <w:proofErr w:type="spellStart"/>
      <w:r w:rsidRPr="00BA3C27">
        <w:rPr>
          <w:b/>
          <w:spacing w:val="-8"/>
          <w:w w:val="105"/>
        </w:rPr>
        <w:t>Cmpl</w:t>
      </w:r>
      <w:proofErr w:type="spellEnd"/>
      <w:r w:rsidRPr="00BA3C27">
        <w:rPr>
          <w:b/>
          <w:spacing w:val="-8"/>
          <w:w w:val="105"/>
        </w:rPr>
        <w:t>:</w:t>
      </w:r>
      <w:r>
        <w:rPr>
          <w:spacing w:val="-8"/>
          <w:w w:val="105"/>
        </w:rPr>
        <w:t xml:space="preserve"> Credit hours that were completed</w:t>
      </w:r>
    </w:p>
    <w:p w:rsidR="00BA3C27" w:rsidRDefault="00BA3C27">
      <w:pPr>
        <w:widowControl/>
        <w:kinsoku/>
        <w:autoSpaceDE w:val="0"/>
        <w:autoSpaceDN w:val="0"/>
        <w:adjustRightInd w:val="0"/>
        <w:rPr>
          <w:spacing w:val="-8"/>
          <w:w w:val="105"/>
        </w:rPr>
      </w:pPr>
    </w:p>
    <w:p w:rsidR="00BA3C27" w:rsidRDefault="00BA3C27">
      <w:pPr>
        <w:widowControl/>
        <w:kinsoku/>
        <w:autoSpaceDE w:val="0"/>
        <w:autoSpaceDN w:val="0"/>
        <w:adjustRightInd w:val="0"/>
        <w:rPr>
          <w:spacing w:val="-8"/>
          <w:w w:val="105"/>
        </w:rPr>
      </w:pPr>
      <w:r w:rsidRPr="00BA3C27">
        <w:rPr>
          <w:b/>
          <w:spacing w:val="-8"/>
          <w:w w:val="105"/>
        </w:rPr>
        <w:t>Grade points:</w:t>
      </w:r>
      <w:r>
        <w:rPr>
          <w:spacing w:val="-8"/>
          <w:w w:val="105"/>
        </w:rPr>
        <w:t xml:space="preserve"> Also known as QPA (</w:t>
      </w:r>
      <w:r>
        <w:t>quality point average</w:t>
      </w:r>
      <w:r>
        <w:t>)</w:t>
      </w:r>
    </w:p>
    <w:p w:rsidR="00BA3C27" w:rsidRDefault="00BA3C27">
      <w:pPr>
        <w:widowControl/>
        <w:kinsoku/>
        <w:autoSpaceDE w:val="0"/>
        <w:autoSpaceDN w:val="0"/>
        <w:adjustRightInd w:val="0"/>
        <w:rPr>
          <w:spacing w:val="-8"/>
          <w:w w:val="105"/>
        </w:rPr>
      </w:pPr>
    </w:p>
    <w:p w:rsidR="00BA3C27" w:rsidRDefault="00BA3C27">
      <w:pPr>
        <w:widowControl/>
        <w:kinsoku/>
        <w:autoSpaceDE w:val="0"/>
        <w:autoSpaceDN w:val="0"/>
        <w:adjustRightInd w:val="0"/>
        <w:rPr>
          <w:spacing w:val="-8"/>
          <w:w w:val="105"/>
        </w:rPr>
      </w:pPr>
      <w:r w:rsidRPr="00BA3C27">
        <w:rPr>
          <w:b/>
          <w:spacing w:val="-8"/>
          <w:w w:val="105"/>
        </w:rPr>
        <w:t>Term Totals:</w:t>
      </w:r>
      <w:r>
        <w:rPr>
          <w:spacing w:val="-8"/>
          <w:w w:val="105"/>
        </w:rPr>
        <w:t xml:space="preserve"> The total credit hours earned for the given semester</w:t>
      </w:r>
    </w:p>
    <w:p w:rsidR="00BA3C27" w:rsidRDefault="00BA3C27">
      <w:pPr>
        <w:widowControl/>
        <w:kinsoku/>
        <w:autoSpaceDE w:val="0"/>
        <w:autoSpaceDN w:val="0"/>
        <w:adjustRightInd w:val="0"/>
        <w:rPr>
          <w:spacing w:val="-8"/>
          <w:w w:val="105"/>
        </w:rPr>
      </w:pPr>
      <w:r w:rsidRPr="00BA3C27">
        <w:rPr>
          <w:b/>
          <w:spacing w:val="-8"/>
          <w:w w:val="105"/>
        </w:rPr>
        <w:t>Term Total G.P.A:</w:t>
      </w:r>
      <w:r>
        <w:rPr>
          <w:spacing w:val="-8"/>
          <w:w w:val="105"/>
        </w:rPr>
        <w:t xml:space="preserve"> G.P.A for the given semester</w:t>
      </w:r>
    </w:p>
    <w:p w:rsidR="00BA3C27" w:rsidRDefault="00BA3C27">
      <w:pPr>
        <w:widowControl/>
        <w:kinsoku/>
        <w:autoSpaceDE w:val="0"/>
        <w:autoSpaceDN w:val="0"/>
        <w:adjustRightInd w:val="0"/>
        <w:rPr>
          <w:spacing w:val="-8"/>
          <w:w w:val="105"/>
        </w:rPr>
      </w:pPr>
    </w:p>
    <w:p w:rsidR="00BA3C27" w:rsidRDefault="00BA3C27">
      <w:pPr>
        <w:widowControl/>
        <w:kinsoku/>
        <w:autoSpaceDE w:val="0"/>
        <w:autoSpaceDN w:val="0"/>
        <w:adjustRightInd w:val="0"/>
        <w:rPr>
          <w:spacing w:val="-8"/>
          <w:w w:val="105"/>
        </w:rPr>
      </w:pPr>
      <w:r w:rsidRPr="00BA3C27">
        <w:rPr>
          <w:b/>
          <w:spacing w:val="-8"/>
          <w:w w:val="105"/>
        </w:rPr>
        <w:t>Cumulative Totals:</w:t>
      </w:r>
      <w:r>
        <w:rPr>
          <w:spacing w:val="-8"/>
          <w:w w:val="105"/>
        </w:rPr>
        <w:t xml:space="preserve"> The total credit hours earned. </w:t>
      </w:r>
    </w:p>
    <w:p w:rsidR="00BA3C27" w:rsidRDefault="00BA3C27">
      <w:pPr>
        <w:widowControl/>
        <w:kinsoku/>
        <w:autoSpaceDE w:val="0"/>
        <w:autoSpaceDN w:val="0"/>
        <w:adjustRightInd w:val="0"/>
        <w:rPr>
          <w:spacing w:val="-8"/>
          <w:w w:val="105"/>
        </w:rPr>
      </w:pPr>
      <w:proofErr w:type="spellStart"/>
      <w:r w:rsidRPr="00BA3C27">
        <w:rPr>
          <w:b/>
          <w:spacing w:val="-8"/>
          <w:w w:val="105"/>
        </w:rPr>
        <w:t>Culumative</w:t>
      </w:r>
      <w:proofErr w:type="spellEnd"/>
      <w:r w:rsidRPr="00BA3C27">
        <w:rPr>
          <w:b/>
          <w:spacing w:val="-8"/>
          <w:w w:val="105"/>
        </w:rPr>
        <w:t xml:space="preserve"> G.P.A.:</w:t>
      </w:r>
      <w:r>
        <w:rPr>
          <w:spacing w:val="-8"/>
          <w:w w:val="105"/>
        </w:rPr>
        <w:t xml:space="preserve"> Overall G.P.A. for all semesters.</w:t>
      </w:r>
    </w:p>
    <w:p w:rsidR="00BA3C27" w:rsidRDefault="00BA3C27">
      <w:pPr>
        <w:widowControl/>
        <w:kinsoku/>
        <w:autoSpaceDE w:val="0"/>
        <w:autoSpaceDN w:val="0"/>
        <w:adjustRightInd w:val="0"/>
        <w:rPr>
          <w:spacing w:val="-8"/>
          <w:w w:val="105"/>
        </w:rPr>
      </w:pPr>
    </w:p>
    <w:p w:rsidR="00BA3C27" w:rsidRDefault="00BA3C27">
      <w:pPr>
        <w:widowControl/>
        <w:kinsoku/>
        <w:autoSpaceDE w:val="0"/>
        <w:autoSpaceDN w:val="0"/>
        <w:adjustRightInd w:val="0"/>
        <w:rPr>
          <w:spacing w:val="-8"/>
          <w:w w:val="105"/>
        </w:rPr>
      </w:pPr>
      <w:r w:rsidRPr="00BA3C27">
        <w:rPr>
          <w:b/>
          <w:spacing w:val="-8"/>
          <w:w w:val="105"/>
        </w:rPr>
        <w:t>Academic Standing:</w:t>
      </w:r>
      <w:r>
        <w:rPr>
          <w:spacing w:val="-8"/>
          <w:w w:val="105"/>
        </w:rPr>
        <w:t xml:space="preserve"> A student will see if they are in “Good Standing,” “President’s List.” “</w:t>
      </w:r>
      <w:proofErr w:type="gramStart"/>
      <w:r>
        <w:rPr>
          <w:spacing w:val="-8"/>
          <w:w w:val="105"/>
        </w:rPr>
        <w:t>Dean’s List,”</w:t>
      </w:r>
      <w:proofErr w:type="gramEnd"/>
      <w:r>
        <w:rPr>
          <w:spacing w:val="-8"/>
          <w:w w:val="105"/>
        </w:rPr>
        <w:t xml:space="preserve"> or “Academic Probation.” </w:t>
      </w:r>
    </w:p>
    <w:p w:rsidR="00853343" w:rsidRDefault="00853343">
      <w:pPr>
        <w:widowControl/>
        <w:kinsoku/>
        <w:autoSpaceDE w:val="0"/>
        <w:autoSpaceDN w:val="0"/>
        <w:adjustRightInd w:val="0"/>
        <w:rPr>
          <w:spacing w:val="-8"/>
          <w:w w:val="105"/>
        </w:rPr>
      </w:pPr>
    </w:p>
    <w:p w:rsidR="00853343" w:rsidRDefault="00853343">
      <w:pPr>
        <w:widowControl/>
        <w:kinsoku/>
        <w:autoSpaceDE w:val="0"/>
        <w:autoSpaceDN w:val="0"/>
        <w:adjustRightInd w:val="0"/>
        <w:rPr>
          <w:spacing w:val="-8"/>
          <w:w w:val="105"/>
        </w:rPr>
      </w:pPr>
      <w:r w:rsidRPr="00853343">
        <w:rPr>
          <w:b/>
          <w:spacing w:val="-8"/>
          <w:w w:val="105"/>
        </w:rPr>
        <w:t>Program Total:</w:t>
      </w:r>
      <w:r>
        <w:rPr>
          <w:spacing w:val="-8"/>
          <w:w w:val="105"/>
        </w:rPr>
        <w:t xml:space="preserve"> Calculates the completed credit hours and the Overall Cumulative G.P.A</w:t>
      </w:r>
    </w:p>
    <w:p w:rsidR="00853343" w:rsidRDefault="00853343">
      <w:pPr>
        <w:widowControl/>
        <w:kinsoku/>
        <w:autoSpaceDE w:val="0"/>
        <w:autoSpaceDN w:val="0"/>
        <w:adjustRightInd w:val="0"/>
        <w:rPr>
          <w:spacing w:val="-8"/>
          <w:w w:val="105"/>
        </w:rPr>
      </w:pPr>
      <w:proofErr w:type="gramStart"/>
      <w:r>
        <w:rPr>
          <w:spacing w:val="-8"/>
          <w:w w:val="105"/>
        </w:rPr>
        <w:t>Awarded: Will list the degree awarded to the student on the date it was awarded.</w:t>
      </w:r>
      <w:proofErr w:type="gramEnd"/>
      <w:r>
        <w:rPr>
          <w:spacing w:val="-8"/>
          <w:w w:val="105"/>
        </w:rPr>
        <w:t xml:space="preserve"> </w:t>
      </w:r>
    </w:p>
    <w:p w:rsidR="00853343" w:rsidRDefault="00853343">
      <w:pPr>
        <w:widowControl/>
        <w:kinsoku/>
        <w:autoSpaceDE w:val="0"/>
        <w:autoSpaceDN w:val="0"/>
        <w:adjustRightInd w:val="0"/>
        <w:rPr>
          <w:spacing w:val="-8"/>
          <w:w w:val="105"/>
        </w:rPr>
      </w:pPr>
    </w:p>
    <w:p w:rsidR="00853343" w:rsidRDefault="00853343">
      <w:pPr>
        <w:widowControl/>
        <w:kinsoku/>
        <w:autoSpaceDE w:val="0"/>
        <w:autoSpaceDN w:val="0"/>
        <w:adjustRightInd w:val="0"/>
        <w:rPr>
          <w:spacing w:val="-8"/>
          <w:w w:val="105"/>
        </w:rPr>
      </w:pPr>
      <w:r w:rsidRPr="00853343">
        <w:rPr>
          <w:b/>
          <w:spacing w:val="-8"/>
          <w:w w:val="105"/>
        </w:rPr>
        <w:lastRenderedPageBreak/>
        <w:t>Any class that has one asterisk means:</w:t>
      </w:r>
      <w:r>
        <w:rPr>
          <w:spacing w:val="-8"/>
          <w:w w:val="105"/>
        </w:rPr>
        <w:t xml:space="preserve"> The course qualifies to transfer to the institutions in the North Carolina Community College System. </w:t>
      </w:r>
    </w:p>
    <w:p w:rsidR="00853343" w:rsidRDefault="00853343">
      <w:pPr>
        <w:widowControl/>
        <w:kinsoku/>
        <w:autoSpaceDE w:val="0"/>
        <w:autoSpaceDN w:val="0"/>
        <w:adjustRightInd w:val="0"/>
        <w:rPr>
          <w:spacing w:val="-8"/>
          <w:w w:val="105"/>
        </w:rPr>
      </w:pPr>
    </w:p>
    <w:p w:rsidR="00853343" w:rsidRDefault="00853343">
      <w:pPr>
        <w:widowControl/>
        <w:kinsoku/>
        <w:autoSpaceDE w:val="0"/>
        <w:autoSpaceDN w:val="0"/>
        <w:adjustRightInd w:val="0"/>
        <w:rPr>
          <w:spacing w:val="-8"/>
          <w:w w:val="105"/>
        </w:rPr>
      </w:pPr>
      <w:r w:rsidRPr="00853343">
        <w:rPr>
          <w:spacing w:val="-8"/>
          <w:w w:val="105"/>
        </w:rPr>
        <w:t xml:space="preserve">The Comprehensive Articulation Agreement (CAA) addresses the transfer of students between institutions in The North Carolina Community Colleges System (NCCCS) and from that system to constituent institutions of the University </w:t>
      </w:r>
      <w:proofErr w:type="gramStart"/>
      <w:r w:rsidRPr="00853343">
        <w:rPr>
          <w:spacing w:val="-8"/>
          <w:w w:val="105"/>
        </w:rPr>
        <w:t>of</w:t>
      </w:r>
      <w:proofErr w:type="gramEnd"/>
      <w:r w:rsidRPr="00853343">
        <w:rPr>
          <w:spacing w:val="-8"/>
          <w:w w:val="105"/>
        </w:rPr>
        <w:t xml:space="preserve"> North Carolina (UNC). This Comprehensive Agreement was jointly developed by faculty and administrators of the NCCCS and UNC System based on the proposed transfer plan approved by both governing boards in February 1996. The CAA applies to all North Carolina community colleges and all constituent institutions of The University of North Carolina.</w:t>
      </w:r>
    </w:p>
    <w:p w:rsidR="00853343" w:rsidRDefault="00853343">
      <w:pPr>
        <w:widowControl/>
        <w:kinsoku/>
        <w:autoSpaceDE w:val="0"/>
        <w:autoSpaceDN w:val="0"/>
        <w:adjustRightInd w:val="0"/>
        <w:rPr>
          <w:spacing w:val="-8"/>
          <w:w w:val="105"/>
        </w:rPr>
      </w:pPr>
      <w:r>
        <w:rPr>
          <w:spacing w:val="-8"/>
          <w:w w:val="105"/>
        </w:rPr>
        <w:t xml:space="preserve">Any class that has a double asterisk means: The class will transfer to any UNC institution as a core hour course. </w:t>
      </w:r>
    </w:p>
    <w:p w:rsidR="00BA3C27" w:rsidRDefault="00BA3C27">
      <w:pPr>
        <w:widowControl/>
        <w:kinsoku/>
        <w:autoSpaceDE w:val="0"/>
        <w:autoSpaceDN w:val="0"/>
        <w:adjustRightInd w:val="0"/>
        <w:rPr>
          <w:spacing w:val="-8"/>
          <w:w w:val="105"/>
        </w:rPr>
      </w:pPr>
    </w:p>
    <w:sectPr w:rsidR="00BA3C27" w:rsidSect="00853343">
      <w:type w:val="continuous"/>
      <w:pgSz w:w="12240" w:h="15840"/>
      <w:pgMar w:top="1474" w:right="2039" w:bottom="1596" w:left="14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5E"/>
    <w:rsid w:val="002D215E"/>
    <w:rsid w:val="00853343"/>
    <w:rsid w:val="00BA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C27"/>
    <w:rPr>
      <w:rFonts w:ascii="Tahoma" w:hAnsi="Tahoma" w:cs="Tahoma"/>
      <w:sz w:val="16"/>
      <w:szCs w:val="16"/>
    </w:rPr>
  </w:style>
  <w:style w:type="character" w:customStyle="1" w:styleId="BalloonTextChar">
    <w:name w:val="Balloon Text Char"/>
    <w:basedOn w:val="DefaultParagraphFont"/>
    <w:link w:val="BalloonText"/>
    <w:uiPriority w:val="99"/>
    <w:semiHidden/>
    <w:rsid w:val="00BA3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C27"/>
    <w:rPr>
      <w:rFonts w:ascii="Tahoma" w:hAnsi="Tahoma" w:cs="Tahoma"/>
      <w:sz w:val="16"/>
      <w:szCs w:val="16"/>
    </w:rPr>
  </w:style>
  <w:style w:type="character" w:customStyle="1" w:styleId="BalloonTextChar">
    <w:name w:val="Balloon Text Char"/>
    <w:basedOn w:val="DefaultParagraphFont"/>
    <w:link w:val="BalloonText"/>
    <w:uiPriority w:val="99"/>
    <w:semiHidden/>
    <w:rsid w:val="00BA3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2013-06-06T13:27:00Z</dcterms:created>
  <dcterms:modified xsi:type="dcterms:W3CDTF">2013-06-06T13:44:00Z</dcterms:modified>
</cp:coreProperties>
</file>